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A6764" w14:textId="77777777" w:rsidR="00725EF9" w:rsidRPr="00725EF9" w:rsidRDefault="00725EF9" w:rsidP="00725EF9">
      <w:pPr>
        <w:spacing w:line="360" w:lineRule="auto"/>
        <w:rPr>
          <w:rFonts w:ascii="Times New Roman" w:eastAsia="等线" w:hAnsi="Times New Roman" w:cs="Times New Roman"/>
        </w:rPr>
      </w:pPr>
      <w:r w:rsidRPr="00725EF9">
        <w:rPr>
          <w:rFonts w:ascii="Times New Roman" w:eastAsia="等线" w:hAnsi="Times New Roman" w:cs="Times New Roman"/>
          <w:noProof/>
        </w:rPr>
        <w:drawing>
          <wp:inline distT="0" distB="0" distL="0" distR="0" wp14:anchorId="7870D15A" wp14:editId="1B1C5119">
            <wp:extent cx="5893656" cy="2168434"/>
            <wp:effectExtent l="0" t="0" r="0" b="3810"/>
            <wp:docPr id="15888899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05" cy="2171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4FA0" w14:textId="77777777" w:rsidR="00725EF9" w:rsidRPr="00725EF9" w:rsidRDefault="00725EF9" w:rsidP="00725EF9">
      <w:pPr>
        <w:tabs>
          <w:tab w:val="left" w:pos="1422"/>
        </w:tabs>
        <w:spacing w:line="360" w:lineRule="auto"/>
        <w:rPr>
          <w:rFonts w:ascii="Times New Roman" w:eastAsia="宋体" w:hAnsi="Times New Roman" w:cs="Times New Roman"/>
          <w:kern w:val="0"/>
          <w:sz w:val="24"/>
          <w14:ligatures w14:val="none"/>
        </w:rPr>
      </w:pPr>
      <w:r w:rsidRPr="00725EF9">
        <w:rPr>
          <w:rFonts w:ascii="Times New Roman Bold" w:eastAsia="Time" w:hAnsi="Times New Roman Bold" w:cs="Times New Roman Bold"/>
          <w:b/>
          <w:bCs/>
          <w:kern w:val="0"/>
          <w:sz w:val="24"/>
          <w:lang w:eastAsia="en-US"/>
          <w14:ligatures w14:val="none"/>
        </w:rPr>
        <w:t>Fig</w:t>
      </w:r>
      <w:r w:rsidRPr="00725EF9">
        <w:rPr>
          <w:rFonts w:ascii="Times New Roman Bold" w:eastAsia="宋体" w:hAnsi="Times New Roman Bold" w:cs="Times New Roman Bold"/>
          <w:b/>
          <w:bCs/>
          <w:kern w:val="0"/>
          <w:sz w:val="24"/>
          <w14:ligatures w14:val="none"/>
        </w:rPr>
        <w:t>.</w:t>
      </w:r>
      <w:r w:rsidRPr="00725EF9">
        <w:rPr>
          <w:rFonts w:ascii="Times New Roman Bold" w:eastAsia="Time" w:hAnsi="Times New Roman Bold" w:cs="Times New Roman Bold"/>
          <w:b/>
          <w:bCs/>
          <w:kern w:val="0"/>
          <w:sz w:val="24"/>
          <w:lang w:eastAsia="en-US"/>
          <w14:ligatures w14:val="none"/>
        </w:rPr>
        <w:t xml:space="preserve"> </w:t>
      </w:r>
      <w:r w:rsidRPr="00725EF9">
        <w:rPr>
          <w:rFonts w:ascii="Times New Roman Bold" w:eastAsia="宋体" w:hAnsi="Times New Roman Bold" w:cs="Times New Roman Bold"/>
          <w:b/>
          <w:bCs/>
          <w:kern w:val="0"/>
          <w:sz w:val="24"/>
          <w14:ligatures w14:val="none"/>
        </w:rPr>
        <w:t>S1</w:t>
      </w:r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 xml:space="preserve"> Principal Coordinate Analysis (</w:t>
      </w:r>
      <w:proofErr w:type="spellStart"/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>PCoA</w:t>
      </w:r>
      <w:proofErr w:type="spellEnd"/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>) based on Bray-</w:t>
      </w:r>
      <w:proofErr w:type="gramStart"/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>Curtis</w:t>
      </w:r>
      <w:proofErr w:type="gramEnd"/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 xml:space="preserve"> dissimilarity illustrating the shifts in bacterial community structure under different treatments (CK: control; DT: deep Tillage; PM: plastic Mulching) at two soil depths: (a) 0-10 cm and (b)10-20 cm. </w:t>
      </w:r>
    </w:p>
    <w:p w14:paraId="2344A756" w14:textId="77777777" w:rsidR="00725EF9" w:rsidRPr="00725EF9" w:rsidRDefault="00725EF9" w:rsidP="00725EF9">
      <w:pPr>
        <w:spacing w:line="360" w:lineRule="auto"/>
        <w:rPr>
          <w:rFonts w:ascii="Times New Roman" w:eastAsia="宋体" w:hAnsi="Times New Roman" w:cs="Times New Roman"/>
          <w:kern w:val="0"/>
          <w:sz w:val="24"/>
          <w14:ligatures w14:val="none"/>
        </w:rPr>
      </w:pPr>
    </w:p>
    <w:p w14:paraId="1BD44B9C" w14:textId="77777777" w:rsidR="00725EF9" w:rsidRPr="00725EF9" w:rsidRDefault="00725EF9" w:rsidP="00725EF9">
      <w:pPr>
        <w:spacing w:line="360" w:lineRule="auto"/>
        <w:rPr>
          <w:rFonts w:ascii="Times New Roman" w:eastAsia="Time" w:hAnsi="Times New Roman" w:cs="Times New Roman"/>
          <w:kern w:val="0"/>
          <w:sz w:val="24"/>
          <w14:ligatures w14:val="none"/>
        </w:rPr>
      </w:pPr>
      <w:r w:rsidRPr="00725EF9">
        <w:rPr>
          <w:rFonts w:ascii="Times New Roman" w:eastAsia="Time" w:hAnsi="Times New Roman" w:cs="Times New Roman"/>
          <w:noProof/>
          <w:kern w:val="0"/>
          <w:sz w:val="24"/>
          <w14:ligatures w14:val="none"/>
        </w:rPr>
        <w:drawing>
          <wp:inline distT="0" distB="0" distL="0" distR="0" wp14:anchorId="285FF909" wp14:editId="04E196A7">
            <wp:extent cx="5817401" cy="2440142"/>
            <wp:effectExtent l="0" t="0" r="0" b="0"/>
            <wp:docPr id="20221266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20" cy="245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57072" w14:textId="77777777" w:rsidR="00725EF9" w:rsidRPr="00725EF9" w:rsidRDefault="00725EF9" w:rsidP="00725EF9">
      <w:pPr>
        <w:spacing w:line="360" w:lineRule="auto"/>
        <w:rPr>
          <w:rFonts w:ascii="Times New Roman" w:eastAsia="等线" w:hAnsi="Times New Roman" w:cs="Times New Roman"/>
        </w:rPr>
      </w:pPr>
      <w:r w:rsidRPr="00725EF9">
        <w:rPr>
          <w:rFonts w:ascii="Times New Roman" w:eastAsia="等线" w:hAnsi="Times New Roman" w:cs="Times New Roman"/>
          <w:b/>
          <w:bCs/>
        </w:rPr>
        <w:t xml:space="preserve">Fig. S2 </w:t>
      </w:r>
      <w:r w:rsidRPr="00725EF9">
        <w:rPr>
          <w:rFonts w:ascii="Times New Roman" w:eastAsia="等线" w:hAnsi="Times New Roman" w:cs="Times New Roman"/>
        </w:rPr>
        <w:t xml:space="preserve">Redundancy analysis (RDA) of bacterial community composition and soil physicochemical variables under different </w:t>
      </w:r>
      <w:r w:rsidRPr="00725EF9">
        <w:rPr>
          <w:rFonts w:ascii="Times New Roman" w:eastAsia="等线" w:hAnsi="Times New Roman" w:cs="Times New Roman"/>
          <w:i/>
          <w:iCs/>
        </w:rPr>
        <w:t>Spartina alterniflora</w:t>
      </w:r>
      <w:r w:rsidRPr="00725EF9">
        <w:rPr>
          <w:rFonts w:ascii="Times New Roman" w:eastAsia="等线" w:hAnsi="Times New Roman" w:cs="Times New Roman"/>
        </w:rPr>
        <w:t xml:space="preserve"> management treatments. Treatments include </w:t>
      </w:r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>control</w:t>
      </w:r>
      <w:r w:rsidRPr="00725EF9">
        <w:rPr>
          <w:rFonts w:ascii="Times New Roman" w:eastAsia="等线" w:hAnsi="Times New Roman" w:cs="Times New Roman"/>
        </w:rPr>
        <w:t xml:space="preserve"> (CK</w:t>
      </w:r>
      <w:r w:rsidRPr="00725EF9">
        <w:rPr>
          <w:rFonts w:ascii="Times New Roman" w:eastAsia="Time" w:hAnsi="Times New Roman" w:cs="Times New Roman"/>
          <w:kern w:val="0"/>
          <w:sz w:val="24"/>
          <w:lang w:eastAsia="en-US"/>
          <w14:ligatures w14:val="none"/>
        </w:rPr>
        <w:t>)</w:t>
      </w:r>
      <w:r w:rsidRPr="00725EF9">
        <w:rPr>
          <w:rFonts w:ascii="Times New Roman" w:eastAsia="等线" w:hAnsi="Times New Roman" w:cs="Times New Roman"/>
        </w:rPr>
        <w:t xml:space="preserve">, deep-tillage (DT), and plastic mulching (PM). Arrows indicate significant environmental drivers (e.g., pH, SOC, Fe-OC, </w:t>
      </w:r>
      <w:proofErr w:type="spellStart"/>
      <w:r w:rsidRPr="00725EF9">
        <w:rPr>
          <w:rFonts w:ascii="Times New Roman" w:eastAsia="等线" w:hAnsi="Times New Roman" w:cs="Times New Roman"/>
        </w:rPr>
        <w:t>Fep</w:t>
      </w:r>
      <w:proofErr w:type="spellEnd"/>
      <w:r w:rsidRPr="00725EF9">
        <w:rPr>
          <w:rFonts w:ascii="Times New Roman" w:eastAsia="等线" w:hAnsi="Times New Roman" w:cs="Times New Roman"/>
        </w:rPr>
        <w:t>, Fed, TC, MBC, NH₄⁺–N), and their length and direction reflect the strength and orientation of correlation with community structure.</w:t>
      </w:r>
    </w:p>
    <w:p w14:paraId="609797E9" w14:textId="77777777" w:rsidR="00725EF9" w:rsidRPr="00725EF9" w:rsidRDefault="00725EF9" w:rsidP="00725EF9">
      <w:pPr>
        <w:spacing w:line="360" w:lineRule="auto"/>
        <w:rPr>
          <w:rFonts w:ascii="Times New Roman" w:eastAsia="等线" w:hAnsi="Times New Roman" w:cs="Times New Roman"/>
        </w:rPr>
      </w:pPr>
    </w:p>
    <w:p w14:paraId="32AB9EF6" w14:textId="77777777" w:rsidR="00725EF9" w:rsidRPr="00725EF9" w:rsidRDefault="00725EF9" w:rsidP="00725EF9">
      <w:pPr>
        <w:spacing w:line="360" w:lineRule="auto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7CFE0A9F" w14:textId="77777777" w:rsidR="00725EF9" w:rsidRPr="00725EF9" w:rsidRDefault="00725EF9" w:rsidP="00725EF9">
      <w:pPr>
        <w:spacing w:line="360" w:lineRule="auto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38EA6C00" w14:textId="77777777" w:rsidR="00725EF9" w:rsidRPr="00725EF9" w:rsidRDefault="00725EF9" w:rsidP="00725EF9">
      <w:pPr>
        <w:spacing w:line="360" w:lineRule="auto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143E07C1" w14:textId="77777777" w:rsidR="00725EF9" w:rsidRPr="00725EF9" w:rsidRDefault="00725EF9" w:rsidP="00725EF9">
      <w:pPr>
        <w:spacing w:line="360" w:lineRule="auto"/>
        <w:rPr>
          <w:rFonts w:ascii="Times New Roman" w:eastAsia="宋体" w:hAnsi="Times New Roman" w:cs="Times New Roman"/>
          <w:kern w:val="0"/>
          <w:sz w:val="24"/>
          <w14:ligatures w14:val="none"/>
        </w:rPr>
      </w:pPr>
      <w:r w:rsidRPr="00725EF9">
        <w:rPr>
          <w:rFonts w:ascii="Times New Roman" w:eastAsia="Time" w:hAnsi="Times New Roman" w:cs="Times New Roman"/>
          <w:b/>
          <w:bCs/>
          <w:kern w:val="0"/>
          <w:sz w:val="24"/>
          <w14:ligatures w14:val="none"/>
        </w:rPr>
        <w:lastRenderedPageBreak/>
        <w:t>Table S1</w:t>
      </w:r>
      <w:r w:rsidRPr="00725EF9">
        <w:rPr>
          <w:rFonts w:ascii="Times New Roman" w:eastAsia="Time" w:hAnsi="Times New Roman" w:cs="Times New Roman"/>
          <w:kern w:val="0"/>
          <w:sz w:val="24"/>
          <w14:ligatures w14:val="none"/>
        </w:rPr>
        <w:t xml:space="preserve"> Bacterial α-diversity indices under different Spartina alterniflora management treatments. Data are presented as mean ± standard error (n = </w:t>
      </w:r>
      <w:r w:rsidRPr="00725EF9">
        <w:rPr>
          <w:rFonts w:ascii="Times New Roman" w:eastAsia="宋体" w:hAnsi="Times New Roman" w:cs="Times New Roman"/>
          <w:kern w:val="0"/>
          <w:sz w:val="24"/>
          <w14:ligatures w14:val="none"/>
        </w:rPr>
        <w:t>5</w:t>
      </w:r>
      <w:r w:rsidRPr="00725EF9">
        <w:rPr>
          <w:rFonts w:ascii="Times New Roman" w:eastAsia="Time" w:hAnsi="Times New Roman" w:cs="Times New Roman"/>
          <w:kern w:val="0"/>
          <w:sz w:val="24"/>
          <w14:ligatures w14:val="none"/>
        </w:rPr>
        <w:t>). Lowercase letters indicate results of Duncan’s multiple range tests at α = 0.05 across treatments within the same soil depth.</w:t>
      </w:r>
    </w:p>
    <w:tbl>
      <w:tblPr>
        <w:tblStyle w:val="ae"/>
        <w:tblpPr w:leftFromText="180" w:rightFromText="180" w:vertAnchor="text" w:horzAnchor="margin" w:tblpXSpec="center" w:tblpY="214"/>
        <w:tblW w:w="10808" w:type="dxa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101"/>
        <w:gridCol w:w="1130"/>
        <w:gridCol w:w="1200"/>
        <w:gridCol w:w="1400"/>
        <w:gridCol w:w="1339"/>
        <w:gridCol w:w="1657"/>
        <w:gridCol w:w="992"/>
        <w:gridCol w:w="283"/>
        <w:gridCol w:w="1700"/>
      </w:tblGrid>
      <w:tr w:rsidR="00725EF9" w:rsidRPr="00725EF9" w14:paraId="36BFE72C" w14:textId="77777777" w:rsidTr="00656B9B">
        <w:trPr>
          <w:trHeight w:val="416"/>
        </w:trPr>
        <w:tc>
          <w:tcPr>
            <w:tcW w:w="1101" w:type="dxa"/>
            <w:gridSpan w:val="2"/>
            <w:tcBorders>
              <w:top w:val="single" w:sz="12" w:space="0" w:color="auto"/>
              <w:left w:val="nil"/>
            </w:tcBorders>
            <w:hideMark/>
          </w:tcPr>
          <w:p w14:paraId="2ABC4318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bookmarkStart w:id="0" w:name="_Hlk214309304"/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Treatment</w:t>
            </w:r>
          </w:p>
        </w:tc>
        <w:tc>
          <w:tcPr>
            <w:tcW w:w="1131" w:type="dxa"/>
            <w:tcBorders>
              <w:top w:val="single" w:sz="12" w:space="0" w:color="auto"/>
            </w:tcBorders>
            <w:hideMark/>
          </w:tcPr>
          <w:p w14:paraId="1366AA3E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Soil depth</w:t>
            </w:r>
          </w:p>
        </w:tc>
        <w:tc>
          <w:tcPr>
            <w:tcW w:w="1201" w:type="dxa"/>
            <w:tcBorders>
              <w:top w:val="single" w:sz="12" w:space="0" w:color="auto"/>
            </w:tcBorders>
            <w:hideMark/>
          </w:tcPr>
          <w:p w14:paraId="649DBAAD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ind w:firstLineChars="100" w:firstLine="180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Sobs</w:t>
            </w:r>
          </w:p>
        </w:tc>
        <w:tc>
          <w:tcPr>
            <w:tcW w:w="1401" w:type="dxa"/>
            <w:tcBorders>
              <w:top w:val="single" w:sz="12" w:space="0" w:color="auto"/>
            </w:tcBorders>
            <w:hideMark/>
          </w:tcPr>
          <w:p w14:paraId="120F7ADB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ACE</w:t>
            </w:r>
          </w:p>
        </w:tc>
        <w:tc>
          <w:tcPr>
            <w:tcW w:w="1340" w:type="dxa"/>
            <w:tcBorders>
              <w:top w:val="single" w:sz="12" w:space="0" w:color="auto"/>
            </w:tcBorders>
            <w:hideMark/>
          </w:tcPr>
          <w:p w14:paraId="76E8EEA2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Chao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658" w:type="dxa"/>
            <w:tcBorders>
              <w:top w:val="single" w:sz="12" w:space="0" w:color="auto"/>
            </w:tcBorders>
            <w:hideMark/>
          </w:tcPr>
          <w:p w14:paraId="6117BD34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Shannon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hideMark/>
          </w:tcPr>
          <w:p w14:paraId="66C25392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Simpson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right w:val="nil"/>
            </w:tcBorders>
            <w:hideMark/>
          </w:tcPr>
          <w:p w14:paraId="480D0685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Coverage</w:t>
            </w:r>
          </w:p>
        </w:tc>
      </w:tr>
      <w:tr w:rsidR="00725EF9" w:rsidRPr="00725EF9" w14:paraId="7862978E" w14:textId="77777777" w:rsidTr="00656B9B">
        <w:trPr>
          <w:gridBefore w:val="1"/>
          <w:trHeight w:val="547"/>
        </w:trPr>
        <w:tc>
          <w:tcPr>
            <w:tcW w:w="1037" w:type="dxa"/>
            <w:tcBorders>
              <w:left w:val="nil"/>
              <w:bottom w:val="nil"/>
            </w:tcBorders>
            <w:hideMark/>
          </w:tcPr>
          <w:p w14:paraId="7B144811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CK</w:t>
            </w:r>
          </w:p>
        </w:tc>
        <w:tc>
          <w:tcPr>
            <w:tcW w:w="1019" w:type="dxa"/>
            <w:tcBorders>
              <w:bottom w:val="nil"/>
            </w:tcBorders>
            <w:hideMark/>
          </w:tcPr>
          <w:p w14:paraId="541DA02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0-10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bottom w:val="nil"/>
            </w:tcBorders>
            <w:hideMark/>
          </w:tcPr>
          <w:p w14:paraId="0F95A1E8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2215±157.9a</w:t>
            </w:r>
          </w:p>
        </w:tc>
        <w:tc>
          <w:tcPr>
            <w:tcW w:w="1401" w:type="dxa"/>
            <w:tcBorders>
              <w:bottom w:val="nil"/>
            </w:tcBorders>
            <w:hideMark/>
          </w:tcPr>
          <w:p w14:paraId="7A70FB6C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2294 ± 182.6a</w:t>
            </w:r>
          </w:p>
        </w:tc>
        <w:tc>
          <w:tcPr>
            <w:tcW w:w="1340" w:type="dxa"/>
            <w:tcBorders>
              <w:bottom w:val="nil"/>
            </w:tcBorders>
            <w:hideMark/>
          </w:tcPr>
          <w:p w14:paraId="5B6A5CA3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2253 ± 171.7a</w:t>
            </w:r>
          </w:p>
        </w:tc>
        <w:tc>
          <w:tcPr>
            <w:tcW w:w="1658" w:type="dxa"/>
            <w:tcBorders>
              <w:bottom w:val="nil"/>
            </w:tcBorders>
            <w:hideMark/>
          </w:tcPr>
          <w:p w14:paraId="1A70C38A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6.803 ± 0.08a</w:t>
            </w:r>
          </w:p>
        </w:tc>
        <w:tc>
          <w:tcPr>
            <w:tcW w:w="1275" w:type="dxa"/>
            <w:gridSpan w:val="2"/>
            <w:tcBorders>
              <w:bottom w:val="nil"/>
            </w:tcBorders>
            <w:hideMark/>
          </w:tcPr>
          <w:p w14:paraId="730A554E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0.003±0.000a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hideMark/>
          </w:tcPr>
          <w:p w14:paraId="6E7778CF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0.995±0.001a</w:t>
            </w:r>
          </w:p>
        </w:tc>
      </w:tr>
      <w:tr w:rsidR="00725EF9" w:rsidRPr="00725EF9" w14:paraId="27D2A40C" w14:textId="77777777" w:rsidTr="00656B9B">
        <w:trPr>
          <w:gridBefore w:val="1"/>
          <w:trHeight w:val="547"/>
        </w:trPr>
        <w:tc>
          <w:tcPr>
            <w:tcW w:w="1037" w:type="dxa"/>
            <w:tcBorders>
              <w:top w:val="nil"/>
              <w:left w:val="nil"/>
              <w:bottom w:val="nil"/>
            </w:tcBorders>
            <w:hideMark/>
          </w:tcPr>
          <w:p w14:paraId="795D1440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CK</w:t>
            </w:r>
          </w:p>
        </w:tc>
        <w:tc>
          <w:tcPr>
            <w:tcW w:w="1019" w:type="dxa"/>
            <w:tcBorders>
              <w:top w:val="nil"/>
              <w:bottom w:val="nil"/>
            </w:tcBorders>
            <w:hideMark/>
          </w:tcPr>
          <w:p w14:paraId="02DECA39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10-20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top w:val="nil"/>
              <w:bottom w:val="nil"/>
            </w:tcBorders>
            <w:hideMark/>
          </w:tcPr>
          <w:p w14:paraId="3800A0A2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1993±52.75a</w:t>
            </w:r>
          </w:p>
        </w:tc>
        <w:tc>
          <w:tcPr>
            <w:tcW w:w="1401" w:type="dxa"/>
            <w:tcBorders>
              <w:top w:val="nil"/>
              <w:bottom w:val="nil"/>
            </w:tcBorders>
            <w:hideMark/>
          </w:tcPr>
          <w:p w14:paraId="0B1F3BFA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2044 ± 37.42a</w:t>
            </w:r>
          </w:p>
        </w:tc>
        <w:tc>
          <w:tcPr>
            <w:tcW w:w="1340" w:type="dxa"/>
            <w:tcBorders>
              <w:top w:val="nil"/>
              <w:bottom w:val="nil"/>
            </w:tcBorders>
            <w:hideMark/>
          </w:tcPr>
          <w:p w14:paraId="484C971F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2020 ± 42.6a</w:t>
            </w:r>
          </w:p>
        </w:tc>
        <w:tc>
          <w:tcPr>
            <w:tcW w:w="1658" w:type="dxa"/>
            <w:tcBorders>
              <w:top w:val="nil"/>
              <w:bottom w:val="nil"/>
            </w:tcBorders>
            <w:hideMark/>
          </w:tcPr>
          <w:p w14:paraId="3D4E6E08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6.665 ± 0.1a</w:t>
            </w: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  <w:hideMark/>
          </w:tcPr>
          <w:p w14:paraId="04E006B8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0.004±0.001a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hideMark/>
          </w:tcPr>
          <w:p w14:paraId="216E8435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0.996±0.001a</w:t>
            </w:r>
          </w:p>
        </w:tc>
      </w:tr>
      <w:tr w:rsidR="00725EF9" w:rsidRPr="00725EF9" w14:paraId="10908BC6" w14:textId="77777777" w:rsidTr="00656B9B">
        <w:trPr>
          <w:gridBefore w:val="1"/>
          <w:trHeight w:val="547"/>
        </w:trPr>
        <w:tc>
          <w:tcPr>
            <w:tcW w:w="1037" w:type="dxa"/>
            <w:tcBorders>
              <w:top w:val="nil"/>
              <w:left w:val="nil"/>
              <w:bottom w:val="nil"/>
            </w:tcBorders>
            <w:hideMark/>
          </w:tcPr>
          <w:p w14:paraId="56EC1C13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DT</w:t>
            </w:r>
          </w:p>
        </w:tc>
        <w:tc>
          <w:tcPr>
            <w:tcW w:w="1019" w:type="dxa"/>
            <w:tcBorders>
              <w:top w:val="nil"/>
              <w:bottom w:val="nil"/>
            </w:tcBorders>
            <w:hideMark/>
          </w:tcPr>
          <w:p w14:paraId="3AFDFC30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0-10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top w:val="nil"/>
              <w:bottom w:val="nil"/>
            </w:tcBorders>
            <w:hideMark/>
          </w:tcPr>
          <w:p w14:paraId="3CC09DDF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2309±148.5a</w:t>
            </w:r>
          </w:p>
        </w:tc>
        <w:tc>
          <w:tcPr>
            <w:tcW w:w="1401" w:type="dxa"/>
            <w:tcBorders>
              <w:top w:val="nil"/>
              <w:bottom w:val="nil"/>
            </w:tcBorders>
            <w:hideMark/>
          </w:tcPr>
          <w:p w14:paraId="4475451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2372 ± 169.3a</w:t>
            </w:r>
          </w:p>
        </w:tc>
        <w:tc>
          <w:tcPr>
            <w:tcW w:w="1340" w:type="dxa"/>
            <w:tcBorders>
              <w:top w:val="nil"/>
              <w:bottom w:val="nil"/>
            </w:tcBorders>
            <w:hideMark/>
          </w:tcPr>
          <w:p w14:paraId="61E824FF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2349 ± 168.4a</w:t>
            </w:r>
          </w:p>
        </w:tc>
        <w:tc>
          <w:tcPr>
            <w:tcW w:w="1658" w:type="dxa"/>
            <w:tcBorders>
              <w:top w:val="nil"/>
              <w:bottom w:val="nil"/>
            </w:tcBorders>
            <w:hideMark/>
          </w:tcPr>
          <w:p w14:paraId="21E039D5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6.918 ± 0.06a</w:t>
            </w: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  <w:hideMark/>
          </w:tcPr>
          <w:p w14:paraId="32176923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0.002±0.000a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hideMark/>
          </w:tcPr>
          <w:p w14:paraId="47292580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0.995±0.001a</w:t>
            </w:r>
          </w:p>
        </w:tc>
      </w:tr>
      <w:tr w:rsidR="00725EF9" w:rsidRPr="00725EF9" w14:paraId="072F2300" w14:textId="77777777" w:rsidTr="00656B9B">
        <w:trPr>
          <w:gridBefore w:val="1"/>
          <w:trHeight w:val="547"/>
        </w:trPr>
        <w:tc>
          <w:tcPr>
            <w:tcW w:w="1037" w:type="dxa"/>
            <w:tcBorders>
              <w:top w:val="nil"/>
              <w:left w:val="nil"/>
              <w:bottom w:val="nil"/>
            </w:tcBorders>
            <w:hideMark/>
          </w:tcPr>
          <w:p w14:paraId="144EF077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DT</w:t>
            </w:r>
          </w:p>
        </w:tc>
        <w:tc>
          <w:tcPr>
            <w:tcW w:w="1019" w:type="dxa"/>
            <w:tcBorders>
              <w:top w:val="nil"/>
              <w:bottom w:val="nil"/>
            </w:tcBorders>
            <w:hideMark/>
          </w:tcPr>
          <w:p w14:paraId="336BCE49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10-20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top w:val="nil"/>
              <w:bottom w:val="nil"/>
            </w:tcBorders>
            <w:hideMark/>
          </w:tcPr>
          <w:p w14:paraId="49D5A42E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1940±209.4a</w:t>
            </w:r>
          </w:p>
        </w:tc>
        <w:tc>
          <w:tcPr>
            <w:tcW w:w="1401" w:type="dxa"/>
            <w:tcBorders>
              <w:top w:val="nil"/>
              <w:bottom w:val="nil"/>
            </w:tcBorders>
            <w:hideMark/>
          </w:tcPr>
          <w:p w14:paraId="24085480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1983 ± 233.8a</w:t>
            </w:r>
          </w:p>
        </w:tc>
        <w:tc>
          <w:tcPr>
            <w:tcW w:w="1340" w:type="dxa"/>
            <w:tcBorders>
              <w:top w:val="nil"/>
              <w:bottom w:val="nil"/>
            </w:tcBorders>
            <w:hideMark/>
          </w:tcPr>
          <w:p w14:paraId="6E9E7988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1959 ± 219.7a</w:t>
            </w:r>
          </w:p>
        </w:tc>
        <w:tc>
          <w:tcPr>
            <w:tcW w:w="1658" w:type="dxa"/>
            <w:tcBorders>
              <w:top w:val="nil"/>
              <w:bottom w:val="nil"/>
            </w:tcBorders>
            <w:hideMark/>
          </w:tcPr>
          <w:p w14:paraId="50A937BD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6.642 ± 0.18a</w:t>
            </w: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  <w:hideMark/>
          </w:tcPr>
          <w:p w14:paraId="06CC25B4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0.003±0.000a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hideMark/>
          </w:tcPr>
          <w:p w14:paraId="60CF2E4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0.997±0.002a</w:t>
            </w:r>
          </w:p>
        </w:tc>
      </w:tr>
      <w:tr w:rsidR="00725EF9" w:rsidRPr="00725EF9" w14:paraId="21AD693D" w14:textId="77777777" w:rsidTr="00656B9B">
        <w:trPr>
          <w:gridBefore w:val="1"/>
          <w:trHeight w:val="547"/>
        </w:trPr>
        <w:tc>
          <w:tcPr>
            <w:tcW w:w="1037" w:type="dxa"/>
            <w:tcBorders>
              <w:top w:val="nil"/>
              <w:left w:val="nil"/>
              <w:bottom w:val="nil"/>
            </w:tcBorders>
            <w:hideMark/>
          </w:tcPr>
          <w:p w14:paraId="365E7C3C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PM</w:t>
            </w:r>
          </w:p>
        </w:tc>
        <w:tc>
          <w:tcPr>
            <w:tcW w:w="1019" w:type="dxa"/>
            <w:tcBorders>
              <w:top w:val="nil"/>
              <w:bottom w:val="nil"/>
            </w:tcBorders>
            <w:hideMark/>
          </w:tcPr>
          <w:p w14:paraId="61D0DD57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0-10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top w:val="nil"/>
              <w:bottom w:val="nil"/>
            </w:tcBorders>
            <w:hideMark/>
          </w:tcPr>
          <w:p w14:paraId="24C840C1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1851±82.98a</w:t>
            </w:r>
          </w:p>
        </w:tc>
        <w:tc>
          <w:tcPr>
            <w:tcW w:w="1401" w:type="dxa"/>
            <w:tcBorders>
              <w:top w:val="nil"/>
              <w:bottom w:val="nil"/>
            </w:tcBorders>
            <w:hideMark/>
          </w:tcPr>
          <w:p w14:paraId="3168E00A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1901 ± 123.6a</w:t>
            </w:r>
          </w:p>
        </w:tc>
        <w:tc>
          <w:tcPr>
            <w:tcW w:w="1340" w:type="dxa"/>
            <w:tcBorders>
              <w:top w:val="nil"/>
              <w:bottom w:val="nil"/>
            </w:tcBorders>
            <w:hideMark/>
          </w:tcPr>
          <w:p w14:paraId="1F67B4C1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1886 ± 114.9a</w:t>
            </w:r>
          </w:p>
        </w:tc>
        <w:tc>
          <w:tcPr>
            <w:tcW w:w="1658" w:type="dxa"/>
            <w:tcBorders>
              <w:top w:val="nil"/>
              <w:bottom w:val="nil"/>
            </w:tcBorders>
            <w:hideMark/>
          </w:tcPr>
          <w:p w14:paraId="688E10C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6.478 ± 0.17a</w:t>
            </w: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  <w:hideMark/>
          </w:tcPr>
          <w:p w14:paraId="2D2672C4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0.006±0.003a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hideMark/>
          </w:tcPr>
          <w:p w14:paraId="370DA631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0.997±0.002a</w:t>
            </w:r>
          </w:p>
        </w:tc>
      </w:tr>
      <w:tr w:rsidR="00725EF9" w:rsidRPr="00725EF9" w14:paraId="380A80D9" w14:textId="77777777" w:rsidTr="00656B9B">
        <w:trPr>
          <w:gridBefore w:val="1"/>
          <w:trHeight w:val="236"/>
        </w:trPr>
        <w:tc>
          <w:tcPr>
            <w:tcW w:w="1037" w:type="dxa"/>
            <w:tcBorders>
              <w:top w:val="nil"/>
              <w:left w:val="nil"/>
              <w:bottom w:val="single" w:sz="12" w:space="0" w:color="auto"/>
            </w:tcBorders>
            <w:hideMark/>
          </w:tcPr>
          <w:p w14:paraId="14AB0EEC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PM</w:t>
            </w:r>
          </w:p>
        </w:tc>
        <w:tc>
          <w:tcPr>
            <w:tcW w:w="1019" w:type="dxa"/>
            <w:tcBorders>
              <w:top w:val="nil"/>
              <w:bottom w:val="single" w:sz="12" w:space="0" w:color="auto"/>
            </w:tcBorders>
            <w:hideMark/>
          </w:tcPr>
          <w:p w14:paraId="01682B5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10-20</w:t>
            </w:r>
            <w:r w:rsidRPr="00725EF9">
              <w:rPr>
                <w:color w:val="000000"/>
                <w:sz w:val="18"/>
                <w:szCs w:val="18"/>
                <w14:ligatures w14:val="none"/>
              </w:rPr>
              <w:t xml:space="preserve"> cm</w:t>
            </w:r>
          </w:p>
        </w:tc>
        <w:tc>
          <w:tcPr>
            <w:tcW w:w="1201" w:type="dxa"/>
            <w:tcBorders>
              <w:top w:val="nil"/>
              <w:bottom w:val="single" w:sz="12" w:space="0" w:color="auto"/>
            </w:tcBorders>
            <w:hideMark/>
          </w:tcPr>
          <w:p w14:paraId="14532D2E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1925±52.38a</w:t>
            </w:r>
          </w:p>
        </w:tc>
        <w:tc>
          <w:tcPr>
            <w:tcW w:w="1401" w:type="dxa"/>
            <w:tcBorders>
              <w:top w:val="nil"/>
              <w:bottom w:val="single" w:sz="12" w:space="0" w:color="auto"/>
            </w:tcBorders>
            <w:hideMark/>
          </w:tcPr>
          <w:p w14:paraId="55F8F442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1966 ± 68.03a</w:t>
            </w:r>
          </w:p>
        </w:tc>
        <w:tc>
          <w:tcPr>
            <w:tcW w:w="1340" w:type="dxa"/>
            <w:tcBorders>
              <w:top w:val="nil"/>
              <w:bottom w:val="single" w:sz="12" w:space="0" w:color="auto"/>
            </w:tcBorders>
            <w:hideMark/>
          </w:tcPr>
          <w:p w14:paraId="4ABF764F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1955 ± 67.14a</w:t>
            </w:r>
          </w:p>
        </w:tc>
        <w:tc>
          <w:tcPr>
            <w:tcW w:w="1658" w:type="dxa"/>
            <w:tcBorders>
              <w:top w:val="nil"/>
              <w:bottom w:val="single" w:sz="12" w:space="0" w:color="auto"/>
            </w:tcBorders>
            <w:hideMark/>
          </w:tcPr>
          <w:p w14:paraId="2E2A8D44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6.598 ± 0.10a</w:t>
            </w:r>
          </w:p>
        </w:tc>
        <w:tc>
          <w:tcPr>
            <w:tcW w:w="1275" w:type="dxa"/>
            <w:gridSpan w:val="2"/>
            <w:tcBorders>
              <w:top w:val="nil"/>
              <w:bottom w:val="single" w:sz="12" w:space="0" w:color="auto"/>
            </w:tcBorders>
            <w:hideMark/>
          </w:tcPr>
          <w:p w14:paraId="317A3801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0.004±0.00a</w:t>
            </w: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nil"/>
            </w:tcBorders>
            <w:hideMark/>
          </w:tcPr>
          <w:p w14:paraId="38C35116" w14:textId="77777777" w:rsidR="00725EF9" w:rsidRPr="00725EF9" w:rsidRDefault="00725EF9" w:rsidP="00725EF9">
            <w:pPr>
              <w:widowControl/>
              <w:spacing w:before="100" w:beforeAutospacing="1" w:after="100" w:afterAutospacing="1"/>
              <w:jc w:val="center"/>
              <w:rPr>
                <w:sz w:val="18"/>
                <w:szCs w:val="18"/>
                <w:lang w:eastAsia="en-US"/>
                <w14:ligatures w14:val="none"/>
              </w:rPr>
            </w:pPr>
            <w:r w:rsidRPr="00725EF9">
              <w:rPr>
                <w:color w:val="000000"/>
                <w:sz w:val="18"/>
                <w:szCs w:val="18"/>
                <w:lang w:eastAsia="en-US"/>
                <w14:ligatures w14:val="none"/>
              </w:rPr>
              <w:t>0.997±0.001a</w:t>
            </w:r>
          </w:p>
        </w:tc>
      </w:tr>
      <w:bookmarkEnd w:id="0"/>
    </w:tbl>
    <w:p w14:paraId="05FDE618" w14:textId="77777777" w:rsidR="00725EF9" w:rsidRPr="00725EF9" w:rsidRDefault="00725EF9" w:rsidP="00725EF9">
      <w:pPr>
        <w:spacing w:line="480" w:lineRule="auto"/>
        <w:rPr>
          <w:rFonts w:ascii="Times New Roman" w:eastAsia="宋体" w:hAnsi="Times New Roman" w:cs="Times New Roman"/>
          <w:b/>
          <w:bCs/>
          <w:kern w:val="44"/>
          <w:sz w:val="24"/>
          <w:szCs w:val="48"/>
          <w:lang w:bidi="ar"/>
          <w14:ligatures w14:val="none"/>
        </w:rPr>
      </w:pPr>
    </w:p>
    <w:p w14:paraId="3C7E7819" w14:textId="77777777" w:rsidR="001C6325" w:rsidRDefault="001C6325">
      <w:pPr>
        <w:rPr>
          <w:rFonts w:hint="eastAsia"/>
        </w:rPr>
      </w:pPr>
    </w:p>
    <w:sectPr w:rsidR="001C6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F9"/>
    <w:rsid w:val="001C6325"/>
    <w:rsid w:val="003F71BE"/>
    <w:rsid w:val="00593A27"/>
    <w:rsid w:val="00600A4D"/>
    <w:rsid w:val="00725EF9"/>
    <w:rsid w:val="00B2472E"/>
    <w:rsid w:val="00CA2C0E"/>
    <w:rsid w:val="00DC5E0D"/>
    <w:rsid w:val="00ED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07498"/>
  <w14:defaultImageDpi w14:val="32767"/>
  <w15:chartTrackingRefBased/>
  <w15:docId w15:val="{007F301A-6D73-4A28-A9C8-57DFF006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25E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E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5EF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5EF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5EF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5EF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5EF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5EF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25EF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25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25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25EF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25EF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25EF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25E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25E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25E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25E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25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5E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25E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5E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25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5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25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25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25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25EF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rsid w:val="00725EF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靓文 高</dc:creator>
  <cp:keywords/>
  <dc:description/>
  <cp:lastModifiedBy>靓文 高</cp:lastModifiedBy>
  <cp:revision>1</cp:revision>
  <dcterms:created xsi:type="dcterms:W3CDTF">2026-01-19T02:17:00Z</dcterms:created>
  <dcterms:modified xsi:type="dcterms:W3CDTF">2026-01-19T02:18:00Z</dcterms:modified>
</cp:coreProperties>
</file>